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33" w:rsidRPr="00586765" w:rsidRDefault="00E33C33" w:rsidP="00E33C33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IPVA </w:t>
      </w:r>
      <w:r w:rsidRPr="00BD1809">
        <w:rPr>
          <w:rFonts w:ascii="Arial" w:hAnsi="Arial" w:cs="Arial"/>
          <w:b/>
          <w:sz w:val="30"/>
          <w:szCs w:val="30"/>
        </w:rPr>
        <w:t>2022</w:t>
      </w:r>
    </w:p>
    <w:p w:rsidR="00E33C33" w:rsidRPr="00586765" w:rsidRDefault="00E33C33" w:rsidP="00E33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6765">
        <w:rPr>
          <w:rFonts w:ascii="Arial" w:hAnsi="Arial" w:cs="Arial"/>
          <w:b/>
          <w:sz w:val="24"/>
          <w:szCs w:val="24"/>
          <w:u w:val="single"/>
        </w:rPr>
        <w:t>NOTA TÉCNICA</w:t>
      </w:r>
      <w:r w:rsidR="00421A9D">
        <w:rPr>
          <w:rFonts w:ascii="Arial" w:hAnsi="Arial" w:cs="Arial"/>
          <w:b/>
          <w:sz w:val="24"/>
          <w:szCs w:val="24"/>
          <w:u w:val="single"/>
        </w:rPr>
        <w:br/>
      </w:r>
      <w:bookmarkStart w:id="0" w:name="_GoBack"/>
      <w:bookmarkEnd w:id="0"/>
    </w:p>
    <w:p w:rsidR="00E33C33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 O IPVA é o Imposto sobre a Propriedade de Veículos Automotores cuja responsabilidade pelo seu recolhimento cabe aos proprietários de veículos registrados, inscritos, matriculados ou licenciados neste Estado.  Sua regulamentação encontra-se prevista no Código Tributário Estadual (LC 19/97) em seus artigos 148 a 157 B e no decreto Nº 26.428 de 2006 que regulamenta o imposto estabelecendo em seu artigo 10 a definição da Base de Cálculo.</w:t>
      </w:r>
    </w:p>
    <w:p w:rsidR="00DA6E46" w:rsidRPr="00920741" w:rsidRDefault="00DA6E46" w:rsidP="00DA6E46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DA6E46" w:rsidRPr="00DA6E46" w:rsidRDefault="00E33C33" w:rsidP="00DA6E46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O Estado do Amazonas tributa </w:t>
      </w:r>
      <w:proofErr w:type="gramStart"/>
      <w:r w:rsidRPr="00920741">
        <w:rPr>
          <w:rFonts w:ascii="Arial" w:hAnsi="Arial" w:cs="Arial"/>
        </w:rPr>
        <w:t>com o IPVA veículos emplacados de 2007</w:t>
      </w:r>
      <w:proofErr w:type="gramEnd"/>
      <w:r w:rsidRPr="00920741">
        <w:rPr>
          <w:rFonts w:ascii="Arial" w:hAnsi="Arial" w:cs="Arial"/>
        </w:rPr>
        <w:t xml:space="preserve"> em diante.</w:t>
      </w:r>
      <w:r w:rsidR="00DA6E46">
        <w:rPr>
          <w:rFonts w:ascii="Arial" w:hAnsi="Arial" w:cs="Arial"/>
        </w:rPr>
        <w:br/>
      </w:r>
    </w:p>
    <w:p w:rsidR="00E33C33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A Secretaria de Estado da Fazenda do Amazonas, para o exercício de 2022, novamente utilizou a tabela de Base de Cálculo elaborada pela Fundação Instituto de Pesquisas Econômicas – FIPE.  A contratação se deu em razão da necessidade da SEFAZ em continuar com a terceirização dos estudos de pesquisa de preços de veículos automotores. </w:t>
      </w:r>
    </w:p>
    <w:p w:rsidR="00DA6E46" w:rsidRPr="00920741" w:rsidRDefault="00DA6E46" w:rsidP="00DA6E46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DA6E46" w:rsidRPr="00DA6E46" w:rsidRDefault="00E33C33" w:rsidP="00DA6E46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>A FIPE foi o instituto selecionado para prestar o serviço em virtude de ter amplo conhecimento e gerenciamento dessas informações, pois já atua em todos os Estados brasileiros.</w:t>
      </w:r>
      <w:proofErr w:type="gramStart"/>
      <w:r w:rsidR="00DA6E46">
        <w:rPr>
          <w:rFonts w:ascii="Arial" w:hAnsi="Arial" w:cs="Arial"/>
        </w:rPr>
        <w:br/>
      </w:r>
      <w:proofErr w:type="gramEnd"/>
    </w:p>
    <w:p w:rsidR="00E33C33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A tabela fornecida pela FIPE servirá de base de cálculo para o lançamento do IPVA para o exercício de 2022 dos veículos usados e vem </w:t>
      </w:r>
      <w:proofErr w:type="gramStart"/>
      <w:r w:rsidRPr="00920741">
        <w:rPr>
          <w:rFonts w:ascii="Arial" w:hAnsi="Arial" w:cs="Arial"/>
        </w:rPr>
        <w:t>estruturada</w:t>
      </w:r>
      <w:proofErr w:type="gramEnd"/>
      <w:r w:rsidRPr="00920741">
        <w:rPr>
          <w:rFonts w:ascii="Arial" w:hAnsi="Arial" w:cs="Arial"/>
        </w:rPr>
        <w:t xml:space="preserve"> por código do DENATRAN, tipo de combustível e ano de fabricação, informação substancial para a tributação no Amazonas, uma vez que a definição da alíquota é em razão da cilindrada:</w:t>
      </w:r>
    </w:p>
    <w:p w:rsidR="00DA6E46" w:rsidRPr="00920741" w:rsidRDefault="00DA6E46" w:rsidP="00DA6E46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>2% (dois por cento) para veículos de todos os tipos (caminhão, ônibus, moto) e automóveis até 1000cc;</w:t>
      </w:r>
    </w:p>
    <w:p w:rsidR="00DA6E46" w:rsidRPr="00920741" w:rsidRDefault="00DA6E46" w:rsidP="00DA6E46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>3% (três por cento) para automóveis com capacidade superior a 1000 cc.</w:t>
      </w:r>
    </w:p>
    <w:p w:rsidR="00DA6E46" w:rsidRPr="00DA6E46" w:rsidRDefault="00DA6E46" w:rsidP="00DA6E46">
      <w:pPr>
        <w:pStyle w:val="PargrafodaLista"/>
        <w:rPr>
          <w:rFonts w:ascii="Arial" w:hAnsi="Arial" w:cs="Arial"/>
        </w:rPr>
      </w:pPr>
    </w:p>
    <w:p w:rsidR="00E33C33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A FIPE também forneceu uma tabela de valores de caminhão separadamente. Nesse arquivo dos valores venais de caminhões, os valores da base de cálculo são estabelecidos conforme o tipo de carroceria acoplada no caminhão.  São três valores diferenciados a </w:t>
      </w:r>
      <w:r w:rsidRPr="00920741">
        <w:rPr>
          <w:rFonts w:ascii="Arial" w:hAnsi="Arial" w:cs="Arial"/>
        </w:rPr>
        <w:lastRenderedPageBreak/>
        <w:t xml:space="preserve">partir do tipo de carroceria: carroceria de madeira aberta; carroceria de baú fechado de alumínio e carroceria de baú fechado frigorífico, basculante, caçamba basculante, coletor de lixo, plataforma socorro, tanque água potável, tanque combustível. </w:t>
      </w:r>
    </w:p>
    <w:p w:rsidR="00DA6E46" w:rsidRPr="00920741" w:rsidRDefault="00DA6E46" w:rsidP="00DA6E46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Pr="00920741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Considerando a variação dos preços de mercado dos veículos usados entre set/out de 2020 e set/out de 2021 (período da realização da pesquisa pela FIPE) e comparando a tabela FIPE de 2021 (usada para o IPVA 2022) em relação </w:t>
      </w:r>
      <w:proofErr w:type="gramStart"/>
      <w:r w:rsidRPr="00920741">
        <w:rPr>
          <w:rFonts w:ascii="Arial" w:hAnsi="Arial" w:cs="Arial"/>
        </w:rPr>
        <w:t>a</w:t>
      </w:r>
      <w:proofErr w:type="gramEnd"/>
      <w:r w:rsidRPr="00920741">
        <w:rPr>
          <w:rFonts w:ascii="Arial" w:hAnsi="Arial" w:cs="Arial"/>
        </w:rPr>
        <w:t xml:space="preserve"> tabela FIPE 2020 (usada para o IPVA 2021), temos a variação média dos preços de referência da base tributável do IPVA para o tipo AUTOMÓVEL de 22,15%, UTILITÁRIO de 24,71%, CAMINHÕES de 25,28 %, MOTO de 22,27 % e ÔNIBUS de 13,83 % como demonstra o quadro abaixo:</w:t>
      </w:r>
    </w:p>
    <w:p w:rsidR="00E33C33" w:rsidRPr="00920741" w:rsidRDefault="00E33C33" w:rsidP="00E33C33">
      <w:pPr>
        <w:pStyle w:val="Legenda"/>
        <w:framePr w:h="241" w:hRule="exact" w:hSpace="141" w:wrap="around" w:vAnchor="text" w:hAnchor="page" w:x="1043" w:y="5153"/>
        <w:rPr>
          <w:sz w:val="16"/>
          <w:szCs w:val="16"/>
        </w:rPr>
      </w:pPr>
      <w:r w:rsidRPr="00920741">
        <w:rPr>
          <w:sz w:val="16"/>
          <w:szCs w:val="16"/>
        </w:rPr>
        <w:t xml:space="preserve">Tabela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SEQ Tabela \* ARABIC </w:instrText>
      </w:r>
      <w:r>
        <w:rPr>
          <w:sz w:val="16"/>
          <w:szCs w:val="16"/>
        </w:rPr>
        <w:fldChar w:fldCharType="separate"/>
      </w:r>
      <w:r w:rsidR="00421A9D">
        <w:rPr>
          <w:noProof/>
          <w:sz w:val="16"/>
          <w:szCs w:val="16"/>
        </w:rPr>
        <w:t>1</w:t>
      </w:r>
      <w:r>
        <w:rPr>
          <w:sz w:val="16"/>
          <w:szCs w:val="16"/>
        </w:rPr>
        <w:fldChar w:fldCharType="end"/>
      </w:r>
      <w:r w:rsidRPr="00920741">
        <w:rPr>
          <w:sz w:val="16"/>
          <w:szCs w:val="16"/>
        </w:rPr>
        <w:t xml:space="preserve"> - Variação IPVA 2022 x 2021 para veículos usados.</w:t>
      </w:r>
    </w:p>
    <w:tbl>
      <w:tblPr>
        <w:tblpPr w:leftFromText="141" w:rightFromText="141" w:vertAnchor="text" w:horzAnchor="margin" w:tblpXSpec="center" w:tblpY="70"/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542"/>
        <w:gridCol w:w="1504"/>
        <w:gridCol w:w="960"/>
        <w:gridCol w:w="998"/>
        <w:gridCol w:w="1499"/>
        <w:gridCol w:w="1278"/>
        <w:gridCol w:w="853"/>
      </w:tblGrid>
      <w:tr w:rsidR="00E33C33" w:rsidRPr="004F1C4F" w:rsidTr="0086242E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AUTOMÓVEL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UTILITÁRIOS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MOTOS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ONIBUS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CAMINHÕES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TRATORES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TOTAL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23,13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23,18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21,96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23,08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21,81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21,55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22,87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22,04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22,15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22,85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-7,00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22,65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23,09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23,14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19,76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F1C4F">
              <w:rPr>
                <w:rFonts w:ascii="Gadugi" w:eastAsia="Times New Roman" w:hAnsi="Gadugi" w:cs="Calibri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21,70</w:t>
            </w:r>
          </w:p>
        </w:tc>
      </w:tr>
      <w:tr w:rsidR="00E33C33" w:rsidRPr="004F1C4F" w:rsidTr="0086242E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3C33" w:rsidRPr="004F1C4F" w:rsidRDefault="00E33C33" w:rsidP="0086242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-3,53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33C33" w:rsidRPr="004F1C4F" w:rsidRDefault="00E33C33" w:rsidP="0086242E">
            <w:pPr>
              <w:keepNext/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</w:rPr>
            </w:pPr>
            <w:r w:rsidRPr="004F1C4F">
              <w:rPr>
                <w:rFonts w:ascii="Gadugi" w:eastAsia="Times New Roman" w:hAnsi="Gadugi" w:cs="Calibri"/>
                <w:b/>
                <w:bCs/>
              </w:rPr>
              <w:t>22,49</w:t>
            </w:r>
          </w:p>
        </w:tc>
      </w:tr>
    </w:tbl>
    <w:p w:rsidR="00E33C33" w:rsidRDefault="00E33C33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Para o IPVA 2022 constatamos que a média das variações de preços da base tributável do IPVA dos veículos usados é de 22,49% maiores em relação </w:t>
      </w:r>
      <w:proofErr w:type="gramStart"/>
      <w:r w:rsidRPr="00920741">
        <w:rPr>
          <w:rFonts w:ascii="Arial" w:hAnsi="Arial" w:cs="Arial"/>
        </w:rPr>
        <w:t>a</w:t>
      </w:r>
      <w:proofErr w:type="gramEnd"/>
      <w:r w:rsidRPr="00920741">
        <w:rPr>
          <w:rFonts w:ascii="Arial" w:hAnsi="Arial" w:cs="Arial"/>
        </w:rPr>
        <w:t xml:space="preserve"> base do IPVA de 2021.  Para o cálculo não foram utilizados os veículos fabricados em 2021, por serem veículos novos.  Durante cada ano corrente a base de cálculo para o IPVA dos veículos novos é o valor da Nota Fiscal. O IPVA, para esses veículos, também é calculado proporcionalmente aos meses de utilização, da data da emissão da nota fiscal até o final do ano.</w:t>
      </w:r>
    </w:p>
    <w:p w:rsidR="00DA6E46" w:rsidRPr="00920741" w:rsidRDefault="00DA6E46" w:rsidP="00DA6E46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Pr="00DA6E46" w:rsidRDefault="00E33C33" w:rsidP="00E33C33">
      <w:pPr>
        <w:pStyle w:val="PargrafodaLista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A6E46">
        <w:rPr>
          <w:rFonts w:ascii="Arial" w:hAnsi="Arial" w:cs="Arial"/>
        </w:rPr>
        <w:t>A alta do valor do IPVA é resultado do desequilíbrio que a pandemia provocou nas cadeias globais de produção.</w:t>
      </w:r>
      <w:r w:rsidR="00DA6E46">
        <w:rPr>
          <w:rFonts w:ascii="Arial" w:hAnsi="Arial" w:cs="Arial"/>
        </w:rPr>
        <w:t xml:space="preserve"> </w:t>
      </w:r>
      <w:r w:rsidRPr="00DA6E46">
        <w:rPr>
          <w:rFonts w:ascii="Arial" w:hAnsi="Arial" w:cs="Arial"/>
        </w:rPr>
        <w:t>A indústria automotiva sofre com a falta de semicondutores e com a paralização das linhas de produção de veículos.</w:t>
      </w:r>
    </w:p>
    <w:p w:rsidR="00DA6E46" w:rsidRPr="00920741" w:rsidRDefault="00DA6E46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>Houve, portanto, um aumento do custo de produção junto com uma redução da oferta. As concessionárias tiveram seus estoques de veículos novos esvaziada, o que ocasionou um aumento na procura por veículos usados.</w:t>
      </w:r>
    </w:p>
    <w:p w:rsidR="00DA6E46" w:rsidRPr="00920741" w:rsidRDefault="00DA6E46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 xml:space="preserve">No Brasil 120 mil veículos deixaram de ser fabricados durante o 1º semestre de 2021, de acordo com uma estimativa da </w:t>
      </w:r>
      <w:proofErr w:type="gramStart"/>
      <w:r w:rsidRPr="00920741">
        <w:rPr>
          <w:rFonts w:ascii="Arial" w:hAnsi="Arial" w:cs="Arial"/>
        </w:rPr>
        <w:t>Anfavea</w:t>
      </w:r>
      <w:proofErr w:type="gramEnd"/>
      <w:r w:rsidRPr="00920741">
        <w:rPr>
          <w:rFonts w:ascii="Arial" w:hAnsi="Arial" w:cs="Arial"/>
        </w:rPr>
        <w:t xml:space="preserve"> (Associação Nacional dos Fabricantes de Veículos Automotores).</w:t>
      </w:r>
    </w:p>
    <w:p w:rsidR="00DA6E46" w:rsidRPr="00920741" w:rsidRDefault="00DA6E46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>A redução do número de veículos no mercado encareceu os preços de carros novos e usados, base de cálculo do IPVA em todos os Estados.</w:t>
      </w:r>
    </w:p>
    <w:p w:rsidR="00E33C33" w:rsidRPr="00920741" w:rsidRDefault="00E33C33" w:rsidP="00E33C33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:rsidR="00E33C33" w:rsidRDefault="00E33C33" w:rsidP="00E33C33">
      <w:pPr>
        <w:pStyle w:val="PargrafodaLista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20741">
        <w:rPr>
          <w:rFonts w:ascii="Arial" w:hAnsi="Arial" w:cs="Arial"/>
        </w:rPr>
        <w:t>Abaixo temos os modelos com maiores valorizações e maiores depreciações:</w:t>
      </w:r>
    </w:p>
    <w:tbl>
      <w:tblPr>
        <w:tblW w:w="8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550"/>
        <w:gridCol w:w="613"/>
        <w:gridCol w:w="180"/>
        <w:gridCol w:w="2994"/>
        <w:gridCol w:w="546"/>
        <w:gridCol w:w="682"/>
      </w:tblGrid>
      <w:tr w:rsidR="00E33C33" w:rsidRPr="00533F17" w:rsidTr="00DA6E46">
        <w:trPr>
          <w:trHeight w:val="288"/>
          <w:jc w:val="center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CARROS QUE MAIS VALORIZARAM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CARROS QUE MAIS DEPRECIARAM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I/M.BENZ SLS 63 AMG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I/AUDI A4 2.0TFSI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-14,38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HYUNDAI/HB20S </w:t>
            </w:r>
            <w:proofErr w:type="gramStart"/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1.6M</w:t>
            </w:r>
            <w:proofErr w:type="gramEnd"/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COMF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I/M.BENZ C300 SPORTSEDAN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-13,69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I/M.BENZ SLK 200 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I/HYUNDAI AZERA 3.0 V6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-13,33</w:t>
            </w:r>
          </w:p>
        </w:tc>
      </w:tr>
      <w:tr w:rsidR="00E33C33" w:rsidRPr="00533F17" w:rsidTr="00DA6E46">
        <w:trPr>
          <w:trHeight w:val="168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MOTOS QUE MAIS VALORIZARAM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MOTOS QUE MENOS VALORIZARAM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HARLEY DAVIDSON/XL883N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MV AGUSTA/F4 RR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BMW/F850 GS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BYCRISTO/STAR TRICICLO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HONDA/NC 700X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I/DUCATI 1198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E33C33" w:rsidRPr="00533F17" w:rsidTr="00DA6E46">
        <w:trPr>
          <w:trHeight w:val="168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Default="00E33C33" w:rsidP="0086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A6E46" w:rsidRPr="00533F17" w:rsidRDefault="00DA6E46" w:rsidP="0086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533F17" w:rsidRDefault="00E33C33" w:rsidP="008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533F17" w:rsidRDefault="00E33C33" w:rsidP="008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533F17" w:rsidRDefault="00E33C33" w:rsidP="008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533F17" w:rsidRDefault="00E33C33" w:rsidP="008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533F17" w:rsidRDefault="00E33C33" w:rsidP="008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533F17" w:rsidRDefault="00E33C33" w:rsidP="008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lastRenderedPageBreak/>
              <w:t>UTILITÁRIOS QUE MAIS VALORIZARAM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UTILITÁRIOS QUE MAIS DEPRECIARAM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6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I/LR DISCOVERY TD6 SE </w:t>
            </w:r>
            <w:proofErr w:type="gramStart"/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76,11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I/VOLVO XC90 3.2 AWD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-13,62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I/LR DISCOVERY TD6 SE </w:t>
            </w:r>
            <w:proofErr w:type="gramStart"/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58,64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I/BMW X6 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-10,90</w:t>
            </w:r>
          </w:p>
        </w:tc>
      </w:tr>
      <w:tr w:rsidR="00E33C33" w:rsidRPr="00533F17" w:rsidTr="00DA6E46">
        <w:trPr>
          <w:trHeight w:val="28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I/TOYOTA HILUXSW4 SRV4X4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47,40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I/LR </w:t>
            </w:r>
            <w:proofErr w:type="gramStart"/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R.</w:t>
            </w:r>
            <w:proofErr w:type="gramEnd"/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ROVER SPORT SE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33" w:rsidRPr="00DA6E46" w:rsidRDefault="00E33C33" w:rsidP="00862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DA6E4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-10,14</w:t>
            </w:r>
          </w:p>
        </w:tc>
      </w:tr>
    </w:tbl>
    <w:p w:rsidR="00DA6E46" w:rsidRDefault="00DA6E46" w:rsidP="00DA6E46">
      <w:pPr>
        <w:rPr>
          <w:rFonts w:ascii="Arial" w:hAnsi="Arial" w:cs="Arial"/>
          <w:b/>
          <w:sz w:val="24"/>
          <w:szCs w:val="24"/>
        </w:rPr>
      </w:pPr>
    </w:p>
    <w:p w:rsidR="00E33C33" w:rsidRPr="00586765" w:rsidRDefault="00E33C33" w:rsidP="00DA6E46">
      <w:pPr>
        <w:rPr>
          <w:rFonts w:ascii="Arial" w:hAnsi="Arial" w:cs="Arial"/>
          <w:b/>
          <w:sz w:val="24"/>
          <w:szCs w:val="24"/>
        </w:rPr>
      </w:pPr>
      <w:r w:rsidRPr="00586765">
        <w:rPr>
          <w:rFonts w:ascii="Arial" w:hAnsi="Arial" w:cs="Arial"/>
          <w:b/>
          <w:sz w:val="24"/>
          <w:szCs w:val="24"/>
        </w:rPr>
        <w:t>Considerações Finais</w:t>
      </w:r>
    </w:p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t xml:space="preserve">O potencial </w:t>
      </w:r>
      <w:r>
        <w:rPr>
          <w:rFonts w:ascii="Arial" w:hAnsi="Arial" w:cs="Arial"/>
        </w:rPr>
        <w:t>inicial da frota tributável de a</w:t>
      </w:r>
      <w:r w:rsidRPr="00B74D45">
        <w:rPr>
          <w:rFonts w:ascii="Arial" w:hAnsi="Arial" w:cs="Arial"/>
        </w:rPr>
        <w:t>rrecadação do IPVA para o exercício de 2022 (uma frota tribut</w:t>
      </w:r>
      <w:r>
        <w:rPr>
          <w:rFonts w:ascii="Arial" w:hAnsi="Arial" w:cs="Arial"/>
        </w:rPr>
        <w:t>ável de 700 mil veículos), sem</w:t>
      </w:r>
      <w:r w:rsidRPr="00B74D45">
        <w:rPr>
          <w:rFonts w:ascii="Arial" w:hAnsi="Arial" w:cs="Arial"/>
        </w:rPr>
        <w:t xml:space="preserve"> renuncias e desconto</w:t>
      </w:r>
      <w:r>
        <w:rPr>
          <w:rFonts w:ascii="Arial" w:hAnsi="Arial" w:cs="Arial"/>
        </w:rPr>
        <w:t>s legais,</w:t>
      </w:r>
      <w:r w:rsidRPr="00B74D45">
        <w:rPr>
          <w:rFonts w:ascii="Arial" w:hAnsi="Arial" w:cs="Arial"/>
        </w:rPr>
        <w:t xml:space="preserve"> está estimado em um montante</w:t>
      </w:r>
      <w:r>
        <w:rPr>
          <w:rFonts w:ascii="Arial" w:hAnsi="Arial" w:cs="Arial"/>
        </w:rPr>
        <w:t xml:space="preserve"> aproximado de</w:t>
      </w:r>
      <w:r w:rsidRPr="00B74D45">
        <w:rPr>
          <w:rFonts w:ascii="Arial" w:hAnsi="Arial" w:cs="Arial"/>
        </w:rPr>
        <w:t xml:space="preserve"> </w:t>
      </w:r>
      <w:r w:rsidRPr="00B74D45">
        <w:rPr>
          <w:rFonts w:ascii="Arial" w:hAnsi="Arial" w:cs="Arial"/>
          <w:b/>
        </w:rPr>
        <w:t>R$ 608 milhões</w:t>
      </w:r>
      <w:r w:rsidRPr="00B74D45">
        <w:rPr>
          <w:rFonts w:ascii="Arial" w:hAnsi="Arial" w:cs="Arial"/>
        </w:rPr>
        <w:t>.</w:t>
      </w:r>
    </w:p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t>A esse valor</w:t>
      </w:r>
      <w:r>
        <w:rPr>
          <w:rFonts w:ascii="Arial" w:hAnsi="Arial" w:cs="Arial"/>
        </w:rPr>
        <w:t xml:space="preserve"> (A),</w:t>
      </w:r>
      <w:r w:rsidRPr="00B74D45">
        <w:rPr>
          <w:rFonts w:ascii="Arial" w:hAnsi="Arial" w:cs="Arial"/>
        </w:rPr>
        <w:t xml:space="preserve"> soma-se a previsão do IPVA para veículos novos (B), a previsão de recuperação do IPVA de exercícios anteriores (C) e subtraem-se as r</w:t>
      </w:r>
      <w:r>
        <w:rPr>
          <w:rFonts w:ascii="Arial" w:hAnsi="Arial" w:cs="Arial"/>
        </w:rPr>
        <w:t xml:space="preserve">enuncias e descontos legais (D) e a inadimplência dos anos anteriores (E). Como resultado, </w:t>
      </w:r>
      <w:r w:rsidRPr="00B74D45">
        <w:rPr>
          <w:rFonts w:ascii="Arial" w:hAnsi="Arial" w:cs="Arial"/>
        </w:rPr>
        <w:t>a previsão de receita de IPVA, para o exercício de 202</w:t>
      </w:r>
      <w:r>
        <w:rPr>
          <w:rFonts w:ascii="Arial" w:hAnsi="Arial" w:cs="Arial"/>
        </w:rPr>
        <w:t xml:space="preserve">2, após os cálculos realizados, </w:t>
      </w:r>
      <w:r w:rsidRPr="00B74D45">
        <w:rPr>
          <w:rFonts w:ascii="Arial" w:hAnsi="Arial" w:cs="Arial"/>
        </w:rPr>
        <w:t xml:space="preserve">é de </w:t>
      </w:r>
      <w:r w:rsidRPr="00B74D45">
        <w:rPr>
          <w:rFonts w:ascii="Arial" w:hAnsi="Arial" w:cs="Arial"/>
          <w:b/>
        </w:rPr>
        <w:t>R$ 514 milhões.</w:t>
      </w:r>
    </w:p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t>Os cálculos estão detalhados abaixo:</w:t>
      </w:r>
    </w:p>
    <w:tbl>
      <w:tblPr>
        <w:tblStyle w:val="Tabelacomgrade"/>
        <w:tblW w:w="9429" w:type="dxa"/>
        <w:tblLook w:val="04A0" w:firstRow="1" w:lastRow="0" w:firstColumn="1" w:lastColumn="0" w:noHBand="0" w:noVBand="1"/>
      </w:tblPr>
      <w:tblGrid>
        <w:gridCol w:w="4981"/>
        <w:gridCol w:w="4448"/>
      </w:tblGrid>
      <w:tr w:rsidR="008112D2" w:rsidRPr="00E052E7" w:rsidTr="00DA6E46">
        <w:trPr>
          <w:trHeight w:val="486"/>
        </w:trPr>
        <w:tc>
          <w:tcPr>
            <w:tcW w:w="4981" w:type="dxa"/>
            <w:noWrap/>
            <w:vAlign w:val="center"/>
            <w:hideMark/>
          </w:tcPr>
          <w:p w:rsidR="008112D2" w:rsidRPr="00B74D45" w:rsidRDefault="008112D2" w:rsidP="008112D2">
            <w:pPr>
              <w:pStyle w:val="PargrafodaLista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>- POTENCIAL TOTAL</w:t>
            </w:r>
          </w:p>
        </w:tc>
        <w:tc>
          <w:tcPr>
            <w:tcW w:w="4448" w:type="dxa"/>
            <w:noWrap/>
            <w:vAlign w:val="center"/>
            <w:hideMark/>
          </w:tcPr>
          <w:p w:rsidR="008112D2" w:rsidRPr="00E052E7" w:rsidRDefault="008112D2" w:rsidP="0086242E">
            <w:pPr>
              <w:rPr>
                <w:rFonts w:ascii="Arial" w:eastAsia="Times New Roman" w:hAnsi="Arial" w:cs="Arial"/>
                <w:color w:val="000000"/>
              </w:rPr>
            </w:pPr>
            <w:r w:rsidRPr="00E052E7">
              <w:rPr>
                <w:rFonts w:ascii="Arial" w:eastAsia="Times New Roman" w:hAnsi="Arial" w:cs="Arial"/>
                <w:color w:val="000000"/>
              </w:rPr>
              <w:t xml:space="preserve"> R$  </w:t>
            </w:r>
            <w:r w:rsidRPr="00B74D45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E052E7">
              <w:rPr>
                <w:rFonts w:ascii="Arial" w:eastAsia="Times New Roman" w:hAnsi="Arial" w:cs="Arial"/>
                <w:color w:val="000000"/>
              </w:rPr>
              <w:t xml:space="preserve">                             607.848.843,50 </w:t>
            </w:r>
          </w:p>
        </w:tc>
      </w:tr>
      <w:tr w:rsidR="008112D2" w:rsidRPr="00E052E7" w:rsidTr="00DA6E46">
        <w:trPr>
          <w:trHeight w:val="486"/>
        </w:trPr>
        <w:tc>
          <w:tcPr>
            <w:tcW w:w="4981" w:type="dxa"/>
            <w:noWrap/>
            <w:vAlign w:val="center"/>
            <w:hideMark/>
          </w:tcPr>
          <w:p w:rsidR="008112D2" w:rsidRPr="00B74D45" w:rsidRDefault="008112D2" w:rsidP="008112D2">
            <w:pPr>
              <w:pStyle w:val="PargrafodaLista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>- VEICULOS NOVOS 2022</w:t>
            </w:r>
          </w:p>
        </w:tc>
        <w:tc>
          <w:tcPr>
            <w:tcW w:w="4448" w:type="dxa"/>
            <w:noWrap/>
            <w:vAlign w:val="center"/>
            <w:hideMark/>
          </w:tcPr>
          <w:p w:rsidR="008112D2" w:rsidRPr="00E052E7" w:rsidRDefault="008112D2" w:rsidP="0086242E">
            <w:pPr>
              <w:rPr>
                <w:rFonts w:ascii="Arial" w:eastAsia="Times New Roman" w:hAnsi="Arial" w:cs="Arial"/>
                <w:color w:val="000000"/>
              </w:rPr>
            </w:pPr>
            <w:r w:rsidRPr="00E052E7">
              <w:rPr>
                <w:rFonts w:ascii="Arial" w:eastAsia="Times New Roman" w:hAnsi="Arial" w:cs="Arial"/>
                <w:color w:val="000000"/>
              </w:rPr>
              <w:t xml:space="preserve"> R$      </w:t>
            </w:r>
            <w:r w:rsidRPr="00B74D45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  <w:r w:rsidRPr="00E052E7">
              <w:rPr>
                <w:rFonts w:ascii="Arial" w:eastAsia="Times New Roman" w:hAnsi="Arial" w:cs="Arial"/>
                <w:color w:val="000000"/>
              </w:rPr>
              <w:t xml:space="preserve">40.000.000,00 </w:t>
            </w:r>
          </w:p>
        </w:tc>
      </w:tr>
      <w:tr w:rsidR="008112D2" w:rsidRPr="00E052E7" w:rsidTr="00DA6E46">
        <w:trPr>
          <w:trHeight w:val="486"/>
        </w:trPr>
        <w:tc>
          <w:tcPr>
            <w:tcW w:w="4981" w:type="dxa"/>
            <w:noWrap/>
            <w:vAlign w:val="center"/>
            <w:hideMark/>
          </w:tcPr>
          <w:p w:rsidR="008112D2" w:rsidRPr="00B74D45" w:rsidRDefault="008112D2" w:rsidP="008112D2">
            <w:pPr>
              <w:pStyle w:val="PargrafodaLista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>- RECUPERAÇÃO DE ANOS ANTERIORES</w:t>
            </w:r>
          </w:p>
        </w:tc>
        <w:tc>
          <w:tcPr>
            <w:tcW w:w="4448" w:type="dxa"/>
            <w:noWrap/>
            <w:vAlign w:val="center"/>
            <w:hideMark/>
          </w:tcPr>
          <w:p w:rsidR="008112D2" w:rsidRPr="00E052E7" w:rsidRDefault="008112D2" w:rsidP="0086242E">
            <w:pPr>
              <w:rPr>
                <w:rFonts w:ascii="Arial" w:eastAsia="Times New Roman" w:hAnsi="Arial" w:cs="Arial"/>
                <w:color w:val="000000"/>
              </w:rPr>
            </w:pPr>
            <w:r w:rsidRPr="00E052E7">
              <w:rPr>
                <w:rFonts w:ascii="Arial" w:eastAsia="Times New Roman" w:hAnsi="Arial" w:cs="Arial"/>
                <w:color w:val="000000"/>
              </w:rPr>
              <w:t xml:space="preserve"> R$       </w:t>
            </w:r>
            <w:r w:rsidRPr="00B74D45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  <w:r w:rsidRPr="00E052E7">
              <w:rPr>
                <w:rFonts w:ascii="Arial" w:eastAsia="Times New Roman" w:hAnsi="Arial" w:cs="Arial"/>
                <w:color w:val="000000"/>
              </w:rPr>
              <w:t xml:space="preserve">39.000.000,00 </w:t>
            </w:r>
          </w:p>
        </w:tc>
      </w:tr>
      <w:tr w:rsidR="008112D2" w:rsidRPr="00E052E7" w:rsidTr="00DA6E46">
        <w:trPr>
          <w:trHeight w:val="486"/>
        </w:trPr>
        <w:tc>
          <w:tcPr>
            <w:tcW w:w="4981" w:type="dxa"/>
            <w:noWrap/>
            <w:vAlign w:val="center"/>
            <w:hideMark/>
          </w:tcPr>
          <w:p w:rsidR="008112D2" w:rsidRPr="00B74D45" w:rsidRDefault="008112D2" w:rsidP="008112D2">
            <w:pPr>
              <w:pStyle w:val="PargrafodaLista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>- RENÚNCIAS E DESCONTOS LEGAIS</w:t>
            </w:r>
          </w:p>
        </w:tc>
        <w:tc>
          <w:tcPr>
            <w:tcW w:w="4448" w:type="dxa"/>
            <w:noWrap/>
            <w:vAlign w:val="center"/>
            <w:hideMark/>
          </w:tcPr>
          <w:p w:rsidR="008112D2" w:rsidRPr="00E052E7" w:rsidRDefault="008112D2" w:rsidP="0086242E">
            <w:pPr>
              <w:rPr>
                <w:rFonts w:ascii="Arial" w:eastAsia="Times New Roman" w:hAnsi="Arial" w:cs="Arial"/>
                <w:color w:val="000000"/>
              </w:rPr>
            </w:pPr>
            <w:r w:rsidRPr="00E052E7">
              <w:rPr>
                <w:rFonts w:ascii="Arial" w:eastAsia="Times New Roman" w:hAnsi="Arial" w:cs="Arial"/>
                <w:color w:val="000000"/>
              </w:rPr>
              <w:t xml:space="preserve"> R$       </w:t>
            </w:r>
            <w:r w:rsidRPr="00B74D45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  <w:r w:rsidRPr="00E052E7">
              <w:rPr>
                <w:rFonts w:ascii="Arial" w:eastAsia="Times New Roman" w:hAnsi="Arial" w:cs="Arial"/>
                <w:color w:val="000000"/>
              </w:rPr>
              <w:t xml:space="preserve">62.997.054,58 </w:t>
            </w:r>
          </w:p>
        </w:tc>
      </w:tr>
      <w:tr w:rsidR="008112D2" w:rsidRPr="00E052E7" w:rsidTr="00DA6E46">
        <w:trPr>
          <w:trHeight w:val="521"/>
        </w:trPr>
        <w:tc>
          <w:tcPr>
            <w:tcW w:w="4981" w:type="dxa"/>
            <w:noWrap/>
            <w:vAlign w:val="center"/>
            <w:hideMark/>
          </w:tcPr>
          <w:p w:rsidR="008112D2" w:rsidRPr="00B74D45" w:rsidRDefault="008112D2" w:rsidP="008112D2">
            <w:pPr>
              <w:pStyle w:val="PargrafodaLista"/>
              <w:numPr>
                <w:ilvl w:val="0"/>
                <w:numId w:val="23"/>
              </w:numPr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 xml:space="preserve">- INADIMPLÊNCIA (MÉDIA 20%) </w:t>
            </w:r>
          </w:p>
        </w:tc>
        <w:tc>
          <w:tcPr>
            <w:tcW w:w="4448" w:type="dxa"/>
            <w:noWrap/>
            <w:vAlign w:val="center"/>
            <w:hideMark/>
          </w:tcPr>
          <w:p w:rsidR="008112D2" w:rsidRPr="00E052E7" w:rsidRDefault="008112D2" w:rsidP="0086242E">
            <w:pPr>
              <w:rPr>
                <w:rFonts w:ascii="Arial" w:eastAsia="Times New Roman" w:hAnsi="Arial" w:cs="Arial"/>
                <w:color w:val="000000"/>
              </w:rPr>
            </w:pPr>
            <w:r w:rsidRPr="00E052E7">
              <w:rPr>
                <w:rFonts w:ascii="Arial" w:eastAsia="Times New Roman" w:hAnsi="Arial" w:cs="Arial"/>
                <w:color w:val="000000"/>
              </w:rPr>
              <w:t xml:space="preserve"> R$     </w:t>
            </w:r>
            <w:r w:rsidRPr="00B74D45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  <w:r w:rsidRPr="00E052E7">
              <w:rPr>
                <w:rFonts w:ascii="Arial" w:eastAsia="Times New Roman" w:hAnsi="Arial" w:cs="Arial"/>
                <w:color w:val="000000"/>
              </w:rPr>
              <w:t xml:space="preserve">108.970.357,78 </w:t>
            </w:r>
          </w:p>
        </w:tc>
      </w:tr>
      <w:tr w:rsidR="0079388A" w:rsidRPr="00E052E7" w:rsidTr="00DA6E46">
        <w:trPr>
          <w:trHeight w:val="521"/>
        </w:trPr>
        <w:tc>
          <w:tcPr>
            <w:tcW w:w="4981" w:type="dxa"/>
            <w:shd w:val="clear" w:color="auto" w:fill="D9D9D9" w:themeFill="background1" w:themeFillShade="D9"/>
            <w:noWrap/>
            <w:vAlign w:val="center"/>
          </w:tcPr>
          <w:p w:rsidR="0079388A" w:rsidRPr="00417D9B" w:rsidRDefault="0079388A" w:rsidP="0079388A">
            <w:pPr>
              <w:pStyle w:val="PargrafodaLista"/>
              <w:numPr>
                <w:ilvl w:val="0"/>
                <w:numId w:val="23"/>
              </w:numPr>
              <w:rPr>
                <w:rFonts w:ascii="Arial" w:eastAsia="Times New Roman" w:hAnsi="Arial" w:cs="Arial"/>
                <w:b/>
                <w:color w:val="000000"/>
              </w:rPr>
            </w:pPr>
            <w:r w:rsidRPr="00417D9B">
              <w:rPr>
                <w:rFonts w:ascii="Arial" w:eastAsia="Times New Roman" w:hAnsi="Arial" w:cs="Arial"/>
                <w:b/>
                <w:color w:val="000000"/>
              </w:rPr>
              <w:t>- PREVISÃO DE ARRECADAÇÃO</w:t>
            </w:r>
          </w:p>
          <w:p w:rsidR="0079388A" w:rsidRPr="00417D9B" w:rsidRDefault="00417D9B" w:rsidP="0079388A">
            <w:pPr>
              <w:pStyle w:val="PargrafodaLista"/>
              <w:rPr>
                <w:rFonts w:ascii="Arial" w:eastAsia="Times New Roman" w:hAnsi="Arial" w:cs="Arial"/>
                <w:b/>
                <w:color w:val="000000"/>
              </w:rPr>
            </w:pPr>
            <w:r w:rsidRPr="00417D9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79388A" w:rsidRPr="00417D9B">
              <w:rPr>
                <w:rFonts w:ascii="Arial" w:eastAsia="Times New Roman" w:hAnsi="Arial" w:cs="Arial"/>
                <w:b/>
                <w:color w:val="000000"/>
              </w:rPr>
              <w:t xml:space="preserve"> IPVA 2022 (F = A+B+C-D-E)</w:t>
            </w:r>
          </w:p>
        </w:tc>
        <w:tc>
          <w:tcPr>
            <w:tcW w:w="4448" w:type="dxa"/>
            <w:shd w:val="clear" w:color="auto" w:fill="D9D9D9" w:themeFill="background1" w:themeFillShade="D9"/>
            <w:noWrap/>
            <w:vAlign w:val="center"/>
          </w:tcPr>
          <w:p w:rsidR="0079388A" w:rsidRPr="00417D9B" w:rsidRDefault="0079388A" w:rsidP="0086242E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417D9B">
              <w:rPr>
                <w:rFonts w:ascii="Arial" w:eastAsia="Times New Roman" w:hAnsi="Arial" w:cs="Arial"/>
                <w:b/>
                <w:color w:val="000000"/>
              </w:rPr>
              <w:t>R$                                   514.881.431,14</w:t>
            </w:r>
          </w:p>
        </w:tc>
      </w:tr>
    </w:tbl>
    <w:p w:rsidR="008112D2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B74D45">
        <w:rPr>
          <w:rFonts w:ascii="Arial" w:hAnsi="Arial" w:cs="Arial"/>
        </w:rPr>
        <w:t xml:space="preserve"> (A) Potencial inicial da frota tributável (700 mil veículos), antes das renúncias e descontos legais;</w:t>
      </w:r>
    </w:p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t>* (B) Previsão do IPVA relativo a veículos novos, adquiridos em 2022, com base na série histórica;</w:t>
      </w:r>
    </w:p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t>* (C) Previsão de recuperação do estoque de IPVA de exercícios anteriores, com base na série histórica;</w:t>
      </w:r>
    </w:p>
    <w:p w:rsidR="00DA6E46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lastRenderedPageBreak/>
        <w:t xml:space="preserve">* (D) Renúncias e descontos legais (LC 19/97 e Lei 4719/18 - </w:t>
      </w:r>
      <w:r>
        <w:rPr>
          <w:rFonts w:ascii="Arial" w:hAnsi="Arial" w:cs="Arial"/>
        </w:rPr>
        <w:t xml:space="preserve">IPVA abaixo de </w:t>
      </w:r>
      <w:r w:rsidRPr="00B74D45">
        <w:rPr>
          <w:rFonts w:ascii="Arial" w:hAnsi="Arial" w:cs="Arial"/>
        </w:rPr>
        <w:t>R$ 200 reais):</w:t>
      </w:r>
    </w:p>
    <w:p w:rsidR="00417D9B" w:rsidRPr="00417D9B" w:rsidRDefault="00417D9B" w:rsidP="00417D9B">
      <w:pPr>
        <w:pStyle w:val="Legenda"/>
        <w:keepNext/>
        <w:jc w:val="center"/>
        <w:rPr>
          <w:color w:val="auto"/>
        </w:rPr>
      </w:pPr>
      <w:r w:rsidRPr="00417D9B">
        <w:rPr>
          <w:color w:val="auto"/>
        </w:rPr>
        <w:t xml:space="preserve"> (D)</w:t>
      </w:r>
      <w:r>
        <w:rPr>
          <w:color w:val="auto"/>
        </w:rPr>
        <w:t xml:space="preserve"> </w:t>
      </w:r>
      <w:r w:rsidRPr="00417D9B">
        <w:rPr>
          <w:color w:val="auto"/>
        </w:rPr>
        <w:t>-</w:t>
      </w:r>
      <w:r>
        <w:rPr>
          <w:color w:val="auto"/>
        </w:rPr>
        <w:t xml:space="preserve"> </w:t>
      </w:r>
      <w:r w:rsidRPr="00417D9B">
        <w:rPr>
          <w:color w:val="auto"/>
        </w:rPr>
        <w:t>Renúncias e descontos legais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962"/>
      </w:tblGrid>
      <w:tr w:rsidR="008112D2" w:rsidRPr="00B74D45" w:rsidTr="00645D48">
        <w:trPr>
          <w:trHeight w:val="5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2" w:rsidRPr="00B74D45" w:rsidRDefault="008112D2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>Lei do Bom condutor (previsão)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2" w:rsidRPr="00B74D45" w:rsidRDefault="008112D2" w:rsidP="003F3A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74D45">
              <w:rPr>
                <w:rFonts w:ascii="Arial" w:eastAsia="Times New Roman" w:hAnsi="Arial" w:cs="Arial"/>
              </w:rPr>
              <w:t xml:space="preserve">R$       </w:t>
            </w:r>
            <w:r>
              <w:rPr>
                <w:rFonts w:ascii="Arial" w:eastAsia="Times New Roman" w:hAnsi="Arial" w:cs="Arial"/>
              </w:rPr>
              <w:t xml:space="preserve">                                            </w:t>
            </w:r>
            <w:r w:rsidRPr="00B74D45">
              <w:rPr>
                <w:rFonts w:ascii="Arial" w:eastAsia="Times New Roman" w:hAnsi="Arial" w:cs="Arial"/>
              </w:rPr>
              <w:t>922.625,47</w:t>
            </w:r>
          </w:p>
        </w:tc>
      </w:tr>
      <w:tr w:rsidR="008112D2" w:rsidRPr="00B74D45" w:rsidTr="00645D48">
        <w:trPr>
          <w:trHeight w:val="5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2" w:rsidRPr="00B74D45" w:rsidRDefault="008112D2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74D45">
              <w:rPr>
                <w:rFonts w:ascii="Arial" w:eastAsia="Times New Roman" w:hAnsi="Arial" w:cs="Arial"/>
                <w:color w:val="000000"/>
              </w:rPr>
              <w:t>Pgto</w:t>
            </w:r>
            <w:proofErr w:type="spellEnd"/>
            <w:r w:rsidRPr="00B74D45">
              <w:rPr>
                <w:rFonts w:ascii="Arial" w:eastAsia="Times New Roman" w:hAnsi="Arial" w:cs="Arial"/>
                <w:color w:val="000000"/>
              </w:rPr>
              <w:t xml:space="preserve"> Antecipado (previsão)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2" w:rsidRPr="00B74D45" w:rsidRDefault="008112D2" w:rsidP="003F3A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74D45">
              <w:rPr>
                <w:rFonts w:ascii="Arial" w:eastAsia="Times New Roman" w:hAnsi="Arial" w:cs="Arial"/>
              </w:rPr>
              <w:t xml:space="preserve">R$           </w:t>
            </w:r>
            <w:r w:rsidR="003F3AC8">
              <w:rPr>
                <w:rFonts w:ascii="Arial" w:eastAsia="Times New Roman" w:hAnsi="Arial" w:cs="Arial"/>
              </w:rPr>
              <w:t xml:space="preserve"> </w:t>
            </w:r>
            <w:r w:rsidRPr="00B74D45">
              <w:rPr>
                <w:rFonts w:ascii="Arial" w:eastAsia="Times New Roman" w:hAnsi="Arial" w:cs="Arial"/>
              </w:rPr>
              <w:t xml:space="preserve">               </w:t>
            </w:r>
            <w:r>
              <w:rPr>
                <w:rFonts w:ascii="Arial" w:eastAsia="Times New Roman" w:hAnsi="Arial" w:cs="Arial"/>
              </w:rPr>
              <w:t xml:space="preserve">                 </w:t>
            </w:r>
            <w:r w:rsidRPr="00B74D45">
              <w:rPr>
                <w:rFonts w:ascii="Arial" w:eastAsia="Times New Roman" w:hAnsi="Arial" w:cs="Arial"/>
              </w:rPr>
              <w:t xml:space="preserve">  19.091.297,62</w:t>
            </w:r>
          </w:p>
        </w:tc>
      </w:tr>
      <w:tr w:rsidR="008112D2" w:rsidRPr="00B74D45" w:rsidTr="00645D48">
        <w:trPr>
          <w:trHeight w:val="5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2" w:rsidRPr="00B74D45" w:rsidRDefault="008112D2" w:rsidP="008624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4D45">
              <w:rPr>
                <w:rFonts w:ascii="Arial" w:eastAsia="Times New Roman" w:hAnsi="Arial" w:cs="Arial"/>
                <w:color w:val="000000"/>
              </w:rPr>
              <w:t>LEI nº 19/97 &amp;</w:t>
            </w:r>
            <w:proofErr w:type="gramStart"/>
            <w:r w:rsidRPr="00B74D45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gramEnd"/>
            <w:r w:rsidRPr="00B74D45">
              <w:rPr>
                <w:rFonts w:ascii="Arial" w:eastAsia="Times New Roman" w:hAnsi="Arial" w:cs="Arial"/>
                <w:color w:val="000000"/>
              </w:rPr>
              <w:t>LEI N° 4.719/18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2" w:rsidRPr="00B74D45" w:rsidRDefault="008112D2" w:rsidP="003F3A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74D45">
              <w:rPr>
                <w:rFonts w:ascii="Arial" w:eastAsia="Times New Roman" w:hAnsi="Arial" w:cs="Arial"/>
              </w:rPr>
              <w:t xml:space="preserve">R$                           </w:t>
            </w:r>
            <w:r>
              <w:rPr>
                <w:rFonts w:ascii="Arial" w:eastAsia="Times New Roman" w:hAnsi="Arial" w:cs="Arial"/>
              </w:rPr>
              <w:t xml:space="preserve">                 </w:t>
            </w:r>
            <w:r w:rsidRPr="00B74D45">
              <w:rPr>
                <w:rFonts w:ascii="Arial" w:eastAsia="Times New Roman" w:hAnsi="Arial" w:cs="Arial"/>
              </w:rPr>
              <w:t xml:space="preserve">  42.983.131,49</w:t>
            </w:r>
          </w:p>
        </w:tc>
      </w:tr>
      <w:tr w:rsidR="008112D2" w:rsidRPr="00B74D45" w:rsidTr="00645D48">
        <w:trPr>
          <w:trHeight w:val="5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12D2" w:rsidRPr="002F2A57" w:rsidRDefault="008112D2" w:rsidP="008624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F2A57">
              <w:rPr>
                <w:rFonts w:ascii="Arial" w:eastAsia="Times New Roman" w:hAnsi="Arial" w:cs="Arial"/>
                <w:b/>
                <w:color w:val="000000"/>
              </w:rPr>
              <w:t>TOTAL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12D2" w:rsidRPr="002F2A57" w:rsidRDefault="008112D2" w:rsidP="003F3A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F2A57">
              <w:rPr>
                <w:rFonts w:ascii="Arial" w:eastAsia="Times New Roman" w:hAnsi="Arial" w:cs="Arial"/>
                <w:b/>
                <w:color w:val="000000"/>
              </w:rPr>
              <w:t>R$                                              62.997.054,58</w:t>
            </w:r>
          </w:p>
        </w:tc>
      </w:tr>
    </w:tbl>
    <w:p w:rsidR="00A0118B" w:rsidRDefault="00425EA9"/>
    <w:p w:rsidR="008112D2" w:rsidRPr="00B74D45" w:rsidRDefault="008112D2" w:rsidP="008112D2">
      <w:pPr>
        <w:spacing w:line="360" w:lineRule="auto"/>
        <w:ind w:firstLine="708"/>
        <w:jc w:val="both"/>
        <w:rPr>
          <w:rFonts w:ascii="Arial" w:hAnsi="Arial" w:cs="Arial"/>
        </w:rPr>
      </w:pPr>
      <w:r w:rsidRPr="00B74D45">
        <w:rPr>
          <w:rFonts w:ascii="Arial" w:hAnsi="Arial" w:cs="Arial"/>
        </w:rPr>
        <w:t>* (E) Média histórica da inadimplência d</w:t>
      </w:r>
      <w:r>
        <w:rPr>
          <w:rFonts w:ascii="Arial" w:hAnsi="Arial" w:cs="Arial"/>
        </w:rPr>
        <w:t xml:space="preserve">e IPVA para </w:t>
      </w:r>
      <w:r w:rsidRPr="00B74D45">
        <w:rPr>
          <w:rFonts w:ascii="Arial" w:hAnsi="Arial" w:cs="Arial"/>
        </w:rPr>
        <w:t>o exercício;</w:t>
      </w:r>
    </w:p>
    <w:p w:rsidR="008112D2" w:rsidRDefault="008112D2"/>
    <w:sectPr w:rsidR="008112D2" w:rsidSect="001E5717">
      <w:headerReference w:type="default" r:id="rId8"/>
      <w:foot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A9" w:rsidRDefault="00425EA9" w:rsidP="004862D1">
      <w:pPr>
        <w:spacing w:after="0" w:line="240" w:lineRule="auto"/>
      </w:pPr>
      <w:r>
        <w:separator/>
      </w:r>
    </w:p>
  </w:endnote>
  <w:endnote w:type="continuationSeparator" w:id="0">
    <w:p w:rsidR="00425EA9" w:rsidRDefault="00425EA9" w:rsidP="0048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C3" w:rsidRDefault="000917AA">
    <w:pPr>
      <w:pStyle w:val="Rodap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633B180" wp14:editId="682D6E4A">
          <wp:simplePos x="0" y="0"/>
          <wp:positionH relativeFrom="column">
            <wp:posOffset>-529590</wp:posOffset>
          </wp:positionH>
          <wp:positionV relativeFrom="paragraph">
            <wp:posOffset>-560705</wp:posOffset>
          </wp:positionV>
          <wp:extent cx="7170420" cy="1175385"/>
          <wp:effectExtent l="0" t="0" r="0" b="5715"/>
          <wp:wrapSquare wrapText="bothSides"/>
          <wp:docPr id="3" name="Imagem 3" descr="https://lh4.googleusercontent.com/qvG2XTiK-8Vdg3mWGcMdr0eAA_RhS522MojiAPW2yt15LPxYeG2RjC4iFBlkMR9p6OXzovXGL8bhxKr-p61cchV3DRVSdx_vkDJmq5pelDGEVIYp4HnjEWKUXUaU1qq1Ckmky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qvG2XTiK-8Vdg3mWGcMdr0eAA_RhS522MojiAPW2yt15LPxYeG2RjC4iFBlkMR9p6OXzovXGL8bhxKr-p61cchV3DRVSdx_vkDJmq5pelDGEVIYp4HnjEWKUXUaU1qq1Ckmky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04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A9" w:rsidRDefault="00425EA9" w:rsidP="004862D1">
      <w:pPr>
        <w:spacing w:after="0" w:line="240" w:lineRule="auto"/>
      </w:pPr>
      <w:r>
        <w:separator/>
      </w:r>
    </w:p>
  </w:footnote>
  <w:footnote w:type="continuationSeparator" w:id="0">
    <w:p w:rsidR="00425EA9" w:rsidRDefault="00425EA9" w:rsidP="0048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C3" w:rsidRDefault="000917AA" w:rsidP="000D56E0">
    <w:pPr>
      <w:spacing w:after="0"/>
      <w:jc w:val="center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  <w:r>
      <w:rPr>
        <w:noProof/>
        <w:bdr w:val="none" w:sz="0" w:space="0" w:color="auto" w:frame="1"/>
      </w:rPr>
      <w:drawing>
        <wp:inline distT="0" distB="0" distL="0" distR="0" wp14:anchorId="3BC0BE10" wp14:editId="6C483072">
          <wp:extent cx="2163445" cy="767715"/>
          <wp:effectExtent l="0" t="0" r="8255" b="0"/>
          <wp:docPr id="2" name="Imagem 2" descr="https://lh6.googleusercontent.com/bFH3x3eWn4PWUxVgYpdgl87COoX7V9wbyhxZeZ6WUbYsQPgSX3vEz_qk7Y62ngMHcUIkh61nBRE9Vr34TxLzqo1-OpRFQmESLAk0Xf-ZX3RjWGbtD7G_YIkp3vWqOpHrW6Ckz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bFH3x3eWn4PWUxVgYpdgl87COoX7V9wbyhxZeZ6WUbYsQPgSX3vEz_qk7Y62ngMHcUIkh61nBRE9Vr34TxLzqo1-OpRFQmESLAk0Xf-ZX3RjWGbtD7G_YIkp3vWqOpHrW6CkzX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0C3" w:rsidRPr="00817037" w:rsidRDefault="00425EA9" w:rsidP="00817037">
    <w:pPr>
      <w:spacing w:after="0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B3B"/>
    <w:multiLevelType w:val="hybridMultilevel"/>
    <w:tmpl w:val="0D7E12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2ADF"/>
    <w:multiLevelType w:val="hybridMultilevel"/>
    <w:tmpl w:val="6A720BFA"/>
    <w:lvl w:ilvl="0" w:tplc="B47C80D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0AE"/>
    <w:multiLevelType w:val="hybridMultilevel"/>
    <w:tmpl w:val="F6F83778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2A37"/>
    <w:multiLevelType w:val="hybridMultilevel"/>
    <w:tmpl w:val="9098C2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7D09"/>
    <w:multiLevelType w:val="hybridMultilevel"/>
    <w:tmpl w:val="40FC84C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50CC7"/>
    <w:multiLevelType w:val="hybridMultilevel"/>
    <w:tmpl w:val="A9C2EE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45645"/>
    <w:multiLevelType w:val="hybridMultilevel"/>
    <w:tmpl w:val="9C42FF0C"/>
    <w:lvl w:ilvl="0" w:tplc="B47C80D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346E"/>
    <w:multiLevelType w:val="hybridMultilevel"/>
    <w:tmpl w:val="592E9C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EF57DA4"/>
    <w:multiLevelType w:val="hybridMultilevel"/>
    <w:tmpl w:val="A4083366"/>
    <w:lvl w:ilvl="0" w:tplc="0416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41E52E82"/>
    <w:multiLevelType w:val="hybridMultilevel"/>
    <w:tmpl w:val="D752F7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E7E09"/>
    <w:multiLevelType w:val="hybridMultilevel"/>
    <w:tmpl w:val="BCD6F5AA"/>
    <w:lvl w:ilvl="0" w:tplc="E4ECE5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D3D04"/>
    <w:multiLevelType w:val="hybridMultilevel"/>
    <w:tmpl w:val="272E5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867F1"/>
    <w:multiLevelType w:val="hybridMultilevel"/>
    <w:tmpl w:val="4CBE94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35CBC"/>
    <w:multiLevelType w:val="hybridMultilevel"/>
    <w:tmpl w:val="A000B66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8B2A28"/>
    <w:multiLevelType w:val="hybridMultilevel"/>
    <w:tmpl w:val="F0B87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B796F"/>
    <w:multiLevelType w:val="hybridMultilevel"/>
    <w:tmpl w:val="F29A9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41099"/>
    <w:multiLevelType w:val="hybridMultilevel"/>
    <w:tmpl w:val="DC822B62"/>
    <w:lvl w:ilvl="0" w:tplc="FFFFFFFF">
      <w:start w:val="1"/>
      <w:numFmt w:val="upperRoman"/>
      <w:lvlText w:val="%1."/>
      <w:lvlJc w:val="right"/>
      <w:pPr>
        <w:ind w:left="1428" w:hanging="360"/>
      </w:p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B7D9C"/>
    <w:multiLevelType w:val="hybridMultilevel"/>
    <w:tmpl w:val="41E20470"/>
    <w:lvl w:ilvl="0" w:tplc="B9882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9E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CD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0B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24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FD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29D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A3C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24D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B8210E"/>
    <w:multiLevelType w:val="hybridMultilevel"/>
    <w:tmpl w:val="BCD6F5AA"/>
    <w:lvl w:ilvl="0" w:tplc="E4ECE5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8655C"/>
    <w:multiLevelType w:val="hybridMultilevel"/>
    <w:tmpl w:val="29EA48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C1000"/>
    <w:multiLevelType w:val="hybridMultilevel"/>
    <w:tmpl w:val="44E8EF3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59E7400"/>
    <w:multiLevelType w:val="hybridMultilevel"/>
    <w:tmpl w:val="DD56A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54503"/>
    <w:multiLevelType w:val="hybridMultilevel"/>
    <w:tmpl w:val="B17C6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921F9"/>
    <w:multiLevelType w:val="hybridMultilevel"/>
    <w:tmpl w:val="F7A6452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2"/>
  </w:num>
  <w:num w:numId="5">
    <w:abstractNumId w:val="9"/>
  </w:num>
  <w:num w:numId="6">
    <w:abstractNumId w:val="19"/>
  </w:num>
  <w:num w:numId="7">
    <w:abstractNumId w:val="3"/>
  </w:num>
  <w:num w:numId="8">
    <w:abstractNumId w:val="5"/>
  </w:num>
  <w:num w:numId="9">
    <w:abstractNumId w:val="21"/>
  </w:num>
  <w:num w:numId="10">
    <w:abstractNumId w:val="7"/>
  </w:num>
  <w:num w:numId="11">
    <w:abstractNumId w:val="0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4"/>
  </w:num>
  <w:num w:numId="17">
    <w:abstractNumId w:val="14"/>
  </w:num>
  <w:num w:numId="18">
    <w:abstractNumId w:val="1"/>
  </w:num>
  <w:num w:numId="19">
    <w:abstractNumId w:val="6"/>
  </w:num>
  <w:num w:numId="20">
    <w:abstractNumId w:val="23"/>
  </w:num>
  <w:num w:numId="21">
    <w:abstractNumId w:val="13"/>
  </w:num>
  <w:num w:numId="22">
    <w:abstractNumId w:val="16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33"/>
    <w:rsid w:val="000917AA"/>
    <w:rsid w:val="00260B99"/>
    <w:rsid w:val="002A0150"/>
    <w:rsid w:val="002B34BE"/>
    <w:rsid w:val="002D78AA"/>
    <w:rsid w:val="00374E6C"/>
    <w:rsid w:val="003F3AC8"/>
    <w:rsid w:val="004003AC"/>
    <w:rsid w:val="00417D9B"/>
    <w:rsid w:val="00421A9D"/>
    <w:rsid w:val="00425EA9"/>
    <w:rsid w:val="00456179"/>
    <w:rsid w:val="004862D1"/>
    <w:rsid w:val="00495B25"/>
    <w:rsid w:val="005B7887"/>
    <w:rsid w:val="00645D48"/>
    <w:rsid w:val="006932F6"/>
    <w:rsid w:val="0079388A"/>
    <w:rsid w:val="00797199"/>
    <w:rsid w:val="008112D2"/>
    <w:rsid w:val="008E5692"/>
    <w:rsid w:val="00975BB4"/>
    <w:rsid w:val="00AA6B9D"/>
    <w:rsid w:val="00AA7F7A"/>
    <w:rsid w:val="00B860D2"/>
    <w:rsid w:val="00CB7819"/>
    <w:rsid w:val="00DA6E46"/>
    <w:rsid w:val="00E33A76"/>
    <w:rsid w:val="00E33C33"/>
    <w:rsid w:val="00F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3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3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3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3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3C3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C3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C33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33C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3C33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33C3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E3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3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3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3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3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3C3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3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C3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C33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33C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3C33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33C3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E3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1189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Adiel Ernane de Macêdo Reis</dc:creator>
  <cp:lastModifiedBy>Adiel Ernane de Macêdo Reis</cp:lastModifiedBy>
  <cp:revision>15</cp:revision>
  <dcterms:created xsi:type="dcterms:W3CDTF">2021-12-16T15:23:00Z</dcterms:created>
  <dcterms:modified xsi:type="dcterms:W3CDTF">2021-12-16T17:31:00Z</dcterms:modified>
</cp:coreProperties>
</file>